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171D3D9" w14:textId="77777777" w:rsidTr="00A357CC">
        <w:tc>
          <w:tcPr>
            <w:tcW w:w="4747" w:type="dxa"/>
          </w:tcPr>
          <w:p w14:paraId="5171D3D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71D3D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171D3DC" w14:textId="77777777" w:rsidTr="00A357CC">
        <w:tc>
          <w:tcPr>
            <w:tcW w:w="4747" w:type="dxa"/>
          </w:tcPr>
          <w:p w14:paraId="5171D3D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71D3DB" w14:textId="13010A2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34E41">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34E41">
              <w:rPr>
                <w:rFonts w:ascii="Times New Roman" w:hAnsi="Times New Roman"/>
                <w:spacing w:val="20"/>
                <w:sz w:val="24"/>
                <w:szCs w:val="24"/>
              </w:rPr>
              <w:t>21.09.2022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34E41">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34E41">
              <w:rPr>
                <w:rFonts w:ascii="Times New Roman" w:hAnsi="Times New Roman"/>
                <w:spacing w:val="20"/>
                <w:sz w:val="24"/>
                <w:szCs w:val="24"/>
              </w:rPr>
              <w:t>1-4/22/60</w:t>
            </w:r>
            <w:r w:rsidRPr="00CD0CFF">
              <w:rPr>
                <w:rFonts w:ascii="Times New Roman" w:hAnsi="Times New Roman"/>
                <w:spacing w:val="20"/>
                <w:sz w:val="24"/>
                <w:szCs w:val="24"/>
              </w:rPr>
              <w:fldChar w:fldCharType="end"/>
            </w:r>
          </w:p>
        </w:tc>
      </w:tr>
      <w:tr w:rsidR="00A357CC" w14:paraId="5171D3DF" w14:textId="77777777" w:rsidTr="00A357CC">
        <w:tc>
          <w:tcPr>
            <w:tcW w:w="4747" w:type="dxa"/>
          </w:tcPr>
          <w:p w14:paraId="5171D3D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71D3D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171D3E2" w14:textId="77777777" w:rsidTr="00A357CC">
        <w:tc>
          <w:tcPr>
            <w:tcW w:w="4747" w:type="dxa"/>
          </w:tcPr>
          <w:p w14:paraId="5171D3E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171D3E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171D3E5" w14:textId="77777777" w:rsidTr="00A357CC">
        <w:tc>
          <w:tcPr>
            <w:tcW w:w="4747" w:type="dxa"/>
          </w:tcPr>
          <w:p w14:paraId="5171D3E3"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5171D3E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171D3E6" w14:textId="77777777" w:rsidR="0058227E" w:rsidRDefault="0058227E" w:rsidP="00AF1DE6">
      <w:pPr>
        <w:tabs>
          <w:tab w:val="left" w:pos="5387"/>
        </w:tabs>
        <w:spacing w:after="0" w:line="240" w:lineRule="auto"/>
        <w:rPr>
          <w:rFonts w:ascii="Times New Roman" w:hAnsi="Times New Roman"/>
          <w:sz w:val="24"/>
          <w:szCs w:val="24"/>
        </w:rPr>
      </w:pPr>
    </w:p>
    <w:p w14:paraId="5171D3E7"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4611"/>
      </w:tblGrid>
      <w:tr w:rsidR="00772CF5" w14:paraId="5171D3E9" w14:textId="77777777" w:rsidTr="00385616">
        <w:trPr>
          <w:gridAfter w:val="1"/>
          <w:wAfter w:w="4611" w:type="dxa"/>
        </w:trPr>
        <w:tc>
          <w:tcPr>
            <w:tcW w:w="5070" w:type="dxa"/>
          </w:tcPr>
          <w:p w14:paraId="5171D3E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171D3EB" w14:textId="77777777" w:rsidTr="00385616">
        <w:trPr>
          <w:gridAfter w:val="1"/>
          <w:wAfter w:w="4611" w:type="dxa"/>
        </w:trPr>
        <w:tc>
          <w:tcPr>
            <w:tcW w:w="5070" w:type="dxa"/>
          </w:tcPr>
          <w:p w14:paraId="5171D3E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171D3ED" w14:textId="77777777" w:rsidTr="00385616">
        <w:trPr>
          <w:gridAfter w:val="1"/>
          <w:wAfter w:w="4611" w:type="dxa"/>
        </w:trPr>
        <w:tc>
          <w:tcPr>
            <w:tcW w:w="5070" w:type="dxa"/>
          </w:tcPr>
          <w:p w14:paraId="5171D3E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171D3F0" w14:textId="77777777" w:rsidTr="00385616">
        <w:trPr>
          <w:gridAfter w:val="1"/>
          <w:wAfter w:w="4611" w:type="dxa"/>
        </w:trPr>
        <w:tc>
          <w:tcPr>
            <w:tcW w:w="5070" w:type="dxa"/>
          </w:tcPr>
          <w:p w14:paraId="1656DB94" w14:textId="77777777" w:rsidR="00734E41"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34E41">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34E41">
              <w:rPr>
                <w:rFonts w:ascii="Times New Roman" w:hAnsi="Times New Roman"/>
                <w:b/>
                <w:sz w:val="24"/>
                <w:szCs w:val="24"/>
              </w:rPr>
              <w:t>Tapa Vallavolikogu 27.01.2020 määruse nr 78</w:t>
            </w:r>
          </w:p>
          <w:p w14:paraId="5171D3EF" w14:textId="1D326DFF" w:rsidR="00772CF5" w:rsidRPr="00A357CC" w:rsidRDefault="00734E41"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„Tapa valla kaugküttepiirkondade soojusmajanduse arengukava aastateks 2020-2032“ muutmine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5171D3F3" w14:textId="77777777" w:rsidTr="00385616">
        <w:trPr>
          <w:gridAfter w:val="1"/>
          <w:wAfter w:w="4611" w:type="dxa"/>
        </w:trPr>
        <w:tc>
          <w:tcPr>
            <w:tcW w:w="5070" w:type="dxa"/>
          </w:tcPr>
          <w:p w14:paraId="10E1931E" w14:textId="3E6EEFD7" w:rsidR="00A707A2" w:rsidRPr="001B67E7" w:rsidRDefault="00A707A2" w:rsidP="00A707A2">
            <w:pPr>
              <w:pStyle w:val="Eelvormindatudtekst"/>
              <w:jc w:val="both"/>
              <w:rPr>
                <w:rFonts w:ascii="Times New Roman" w:hAnsi="Times New Roman" w:cs="Times New Roman"/>
                <w:color w:val="202020"/>
                <w:sz w:val="21"/>
                <w:szCs w:val="21"/>
                <w:shd w:val="clear" w:color="auto" w:fill="FFFFFF"/>
              </w:rPr>
            </w:pPr>
            <w:r w:rsidRPr="001B67E7">
              <w:rPr>
                <w:rFonts w:ascii="Times New Roman" w:hAnsi="Times New Roman" w:cs="Times New Roman"/>
                <w:color w:val="202020"/>
                <w:sz w:val="21"/>
                <w:szCs w:val="21"/>
                <w:shd w:val="clear" w:color="auto" w:fill="FFFFFF"/>
              </w:rPr>
              <w:t>.</w:t>
            </w:r>
          </w:p>
          <w:p w14:paraId="5171D3F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171D3F5" w14:textId="77777777" w:rsidTr="00385616">
        <w:tc>
          <w:tcPr>
            <w:tcW w:w="9681" w:type="dxa"/>
            <w:gridSpan w:val="2"/>
          </w:tcPr>
          <w:p w14:paraId="11E6C2DC" w14:textId="77777777" w:rsidR="00A707A2" w:rsidRPr="00A707A2" w:rsidRDefault="00A707A2" w:rsidP="00A707A2">
            <w:pPr>
              <w:pStyle w:val="Eelvormindatudtekst"/>
              <w:jc w:val="both"/>
              <w:rPr>
                <w:rFonts w:ascii="Times New Roman" w:hAnsi="Times New Roman" w:cs="Times New Roman"/>
                <w:color w:val="202020"/>
                <w:sz w:val="24"/>
                <w:szCs w:val="24"/>
                <w:shd w:val="clear" w:color="auto" w:fill="FFFFFF"/>
              </w:rPr>
            </w:pPr>
            <w:r w:rsidRPr="00A707A2">
              <w:rPr>
                <w:rFonts w:ascii="Times New Roman" w:hAnsi="Times New Roman" w:cs="Times New Roman"/>
                <w:sz w:val="24"/>
                <w:szCs w:val="24"/>
              </w:rPr>
              <w:t xml:space="preserve">Määrus on antud </w:t>
            </w:r>
            <w:r w:rsidRPr="00A707A2">
              <w:rPr>
                <w:rFonts w:ascii="Times New Roman" w:hAnsi="Times New Roman" w:cs="Times New Roman"/>
                <w:color w:val="202020"/>
                <w:sz w:val="24"/>
                <w:szCs w:val="24"/>
                <w:shd w:val="clear" w:color="auto" w:fill="FFFFFF"/>
              </w:rPr>
              <w:t>Tapa Vallavolikogu 30.09.2019 määruse nr 66 „Arengukava ja eelarvestrateegia koostamise ja muutmise kord“ § 7 lg 4 alusel.</w:t>
            </w:r>
          </w:p>
          <w:p w14:paraId="65B47FD4" w14:textId="77777777" w:rsidR="00A707A2" w:rsidRDefault="00A707A2" w:rsidP="00385616">
            <w:pPr>
              <w:widowControl w:val="0"/>
              <w:spacing w:after="0" w:line="240" w:lineRule="auto"/>
              <w:jc w:val="both"/>
              <w:rPr>
                <w:rFonts w:ascii="Times New Roman" w:eastAsia="NSimSun" w:hAnsi="Times New Roman"/>
                <w:b/>
                <w:sz w:val="24"/>
                <w:szCs w:val="24"/>
                <w:lang w:eastAsia="zh-CN" w:bidi="hi-IN"/>
              </w:rPr>
            </w:pPr>
          </w:p>
          <w:p w14:paraId="7756C197" w14:textId="5898D3B0" w:rsidR="00BC3A12" w:rsidRPr="00BC3A12" w:rsidRDefault="00BC3A12" w:rsidP="00385616">
            <w:pPr>
              <w:widowControl w:val="0"/>
              <w:spacing w:after="0" w:line="240" w:lineRule="auto"/>
              <w:jc w:val="both"/>
              <w:rPr>
                <w:rFonts w:ascii="Times New Roman" w:eastAsia="NSimSun" w:hAnsi="Times New Roman"/>
                <w:b/>
                <w:sz w:val="24"/>
                <w:szCs w:val="24"/>
                <w:lang w:eastAsia="zh-CN" w:bidi="hi-IN"/>
              </w:rPr>
            </w:pPr>
            <w:r w:rsidRPr="00BC3A12">
              <w:rPr>
                <w:rFonts w:ascii="Times New Roman" w:eastAsia="NSimSun" w:hAnsi="Times New Roman"/>
                <w:b/>
                <w:sz w:val="24"/>
                <w:szCs w:val="24"/>
                <w:lang w:eastAsia="zh-CN" w:bidi="hi-IN"/>
              </w:rPr>
              <w:t>§ 1. Määruse muutmine</w:t>
            </w:r>
          </w:p>
          <w:p w14:paraId="564DC16E" w14:textId="77777777" w:rsidR="00BC3A12" w:rsidRPr="00BC3A12" w:rsidRDefault="00BC3A12" w:rsidP="00385616">
            <w:pPr>
              <w:widowControl w:val="0"/>
              <w:spacing w:after="0" w:line="240" w:lineRule="auto"/>
              <w:jc w:val="both"/>
              <w:rPr>
                <w:rFonts w:ascii="Times New Roman" w:eastAsia="NSimSun" w:hAnsi="Times New Roman"/>
                <w:b/>
                <w:sz w:val="24"/>
                <w:szCs w:val="24"/>
                <w:lang w:eastAsia="zh-CN" w:bidi="hi-IN"/>
              </w:rPr>
            </w:pPr>
          </w:p>
          <w:p w14:paraId="0002714E" w14:textId="77777777" w:rsidR="00BC3A12" w:rsidRPr="00BC3A12" w:rsidRDefault="00BC3A12" w:rsidP="00385616">
            <w:pPr>
              <w:tabs>
                <w:tab w:val="left" w:pos="5387"/>
              </w:tabs>
              <w:spacing w:after="0" w:line="240" w:lineRule="auto"/>
              <w:rPr>
                <w:rFonts w:ascii="Times New Roman" w:eastAsia="Times New Roman" w:hAnsi="Times New Roman"/>
                <w:sz w:val="24"/>
                <w:szCs w:val="24"/>
                <w:shd w:val="clear" w:color="auto" w:fill="FFFFFF"/>
              </w:rPr>
            </w:pPr>
            <w:r w:rsidRPr="00BC3A12">
              <w:rPr>
                <w:rFonts w:ascii="Times New Roman" w:eastAsia="Times New Roman" w:hAnsi="Times New Roman"/>
                <w:sz w:val="24"/>
                <w:szCs w:val="24"/>
              </w:rPr>
              <w:t xml:space="preserve">Tapa Vallavolikogu 27.01.2020 määrusega nr 78 </w:t>
            </w:r>
            <w:r w:rsidRPr="00BC3A12">
              <w:rPr>
                <w:rFonts w:ascii="Times New Roman" w:eastAsia="Times New Roman" w:hAnsi="Times New Roman"/>
                <w:kern w:val="36"/>
                <w:sz w:val="24"/>
                <w:szCs w:val="24"/>
                <w:lang w:eastAsia="et-EE"/>
              </w:rPr>
              <w:t xml:space="preserve">„Tapa valla kaugküttepiirkondade soojusmajanduse arengukava aastateks 2020-2032“ vastuvõetud </w:t>
            </w:r>
            <w:r w:rsidRPr="00BC3A12">
              <w:rPr>
                <w:rFonts w:ascii="Times New Roman" w:eastAsia="Times New Roman" w:hAnsi="Times New Roman"/>
                <w:sz w:val="24"/>
                <w:szCs w:val="24"/>
                <w:shd w:val="clear" w:color="auto" w:fill="FFFFFF"/>
              </w:rPr>
              <w:t>Tapa valla kaugküttepiirkondade soojusmajanduse arengukavas aastateks 2020 – 2032 (lisas) tehakse järgmised muudatused:</w:t>
            </w:r>
          </w:p>
          <w:p w14:paraId="78C176BA" w14:textId="77777777" w:rsidR="00BC3A12" w:rsidRPr="00BC3A12" w:rsidRDefault="00BC3A12" w:rsidP="00385616">
            <w:pPr>
              <w:tabs>
                <w:tab w:val="left" w:pos="5387"/>
              </w:tabs>
              <w:spacing w:after="0" w:line="240" w:lineRule="auto"/>
              <w:rPr>
                <w:rFonts w:ascii="Times New Roman" w:eastAsia="Times New Roman" w:hAnsi="Times New Roman"/>
                <w:kern w:val="36"/>
                <w:sz w:val="24"/>
                <w:szCs w:val="24"/>
                <w:lang w:eastAsia="et-EE"/>
              </w:rPr>
            </w:pPr>
          </w:p>
          <w:p w14:paraId="30F4C305" w14:textId="77777777" w:rsidR="00BC3A12" w:rsidRPr="00BC3A12" w:rsidRDefault="00BC3A12" w:rsidP="00385616">
            <w:pPr>
              <w:keepNext/>
              <w:numPr>
                <w:ilvl w:val="0"/>
                <w:numId w:val="7"/>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 xml:space="preserve">Arengukava Tabeli 2 (arengukava lk 11-12) pealkirja muudetakse ja see sõnastatakse järgmiselt: „Tapa linna kaugküttepiirkonnas potentsiaalsed kaugküttega liitujad sõlmitud liitumislepingute alusel (Tabel 2)“. </w:t>
            </w:r>
          </w:p>
          <w:p w14:paraId="38EA6B69" w14:textId="77777777" w:rsidR="00BC3A12" w:rsidRPr="00BC3A12" w:rsidRDefault="00BC3A12" w:rsidP="00385616">
            <w:pPr>
              <w:keepNext/>
              <w:numPr>
                <w:ilvl w:val="0"/>
                <w:numId w:val="7"/>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Arengukava Tabeli 5 (arengukava lk 17) veerus „KATLAMAJA KOKKU“ märkuste lahtris muudetakse sõnastust järgmiselt „Rekonstrueerimine ca 3 600 000 EUR (ilma käibemaksuta)“.</w:t>
            </w:r>
          </w:p>
          <w:p w14:paraId="142777C2" w14:textId="77777777" w:rsidR="00BC3A12" w:rsidRPr="00BC3A12" w:rsidRDefault="00BC3A12" w:rsidP="00385616">
            <w:pPr>
              <w:keepNext/>
              <w:numPr>
                <w:ilvl w:val="0"/>
                <w:numId w:val="7"/>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Arengukava Tabelisse 6 (arengukava lk 18-19) lisatakse kaks uut rida järgmises sõnatuses:</w:t>
            </w:r>
          </w:p>
          <w:tbl>
            <w:tblPr>
              <w:tblStyle w:val="Kontuurtabel"/>
              <w:tblW w:w="0" w:type="auto"/>
              <w:tblLayout w:type="fixed"/>
              <w:tblLook w:val="04A0" w:firstRow="1" w:lastRow="0" w:firstColumn="1" w:lastColumn="0" w:noHBand="0" w:noVBand="1"/>
            </w:tblPr>
            <w:tblGrid>
              <w:gridCol w:w="601"/>
              <w:gridCol w:w="1461"/>
              <w:gridCol w:w="1046"/>
              <w:gridCol w:w="2137"/>
              <w:gridCol w:w="1106"/>
              <w:gridCol w:w="693"/>
              <w:gridCol w:w="1357"/>
              <w:gridCol w:w="661"/>
            </w:tblGrid>
            <w:tr w:rsidR="00BC3A12" w:rsidRPr="00BC3A12" w14:paraId="381D651D" w14:textId="77777777" w:rsidTr="004F665C">
              <w:tc>
                <w:tcPr>
                  <w:tcW w:w="601" w:type="dxa"/>
                </w:tcPr>
                <w:p w14:paraId="492A146F"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II-3</w:t>
                  </w:r>
                </w:p>
              </w:tc>
              <w:tc>
                <w:tcPr>
                  <w:tcW w:w="1461" w:type="dxa"/>
                </w:tcPr>
                <w:p w14:paraId="6E5EC0AF"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Hakkepuit</w:t>
                  </w:r>
                </w:p>
              </w:tc>
              <w:tc>
                <w:tcPr>
                  <w:tcW w:w="1046" w:type="dxa"/>
                </w:tcPr>
                <w:p w14:paraId="4412FC06"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3000kW</w:t>
                  </w:r>
                </w:p>
              </w:tc>
              <w:tc>
                <w:tcPr>
                  <w:tcW w:w="2137" w:type="dxa"/>
                </w:tcPr>
                <w:p w14:paraId="275B5529" w14:textId="77777777" w:rsidR="00BC3A12" w:rsidRPr="00BC3A12" w:rsidRDefault="00BC3A12" w:rsidP="00385616">
                  <w:pPr>
                    <w:spacing w:after="0" w:line="240" w:lineRule="auto"/>
                    <w:rPr>
                      <w:rFonts w:ascii="Times New Roman" w:eastAsia="Times New Roman" w:hAnsi="Times New Roman"/>
                      <w:sz w:val="24"/>
                      <w:szCs w:val="24"/>
                    </w:rPr>
                  </w:pPr>
                  <w:proofErr w:type="spellStart"/>
                  <w:r w:rsidRPr="00BC3A12">
                    <w:rPr>
                      <w:rFonts w:ascii="Times New Roman" w:eastAsia="Times New Roman" w:hAnsi="Times New Roman"/>
                      <w:sz w:val="24"/>
                      <w:szCs w:val="24"/>
                    </w:rPr>
                    <w:t>Agro</w:t>
                  </w:r>
                  <w:proofErr w:type="spellEnd"/>
                  <w:r w:rsidRPr="00BC3A12">
                    <w:rPr>
                      <w:rFonts w:ascii="Times New Roman" w:eastAsia="Times New Roman" w:hAnsi="Times New Roman"/>
                      <w:sz w:val="24"/>
                      <w:szCs w:val="24"/>
                    </w:rPr>
                    <w:t xml:space="preserve"> </w:t>
                  </w:r>
                  <w:proofErr w:type="spellStart"/>
                  <w:r w:rsidRPr="00BC3A12">
                    <w:rPr>
                      <w:rFonts w:ascii="Times New Roman" w:eastAsia="Times New Roman" w:hAnsi="Times New Roman"/>
                      <w:sz w:val="24"/>
                      <w:szCs w:val="24"/>
                    </w:rPr>
                    <w:t>Forst</w:t>
                  </w:r>
                  <w:proofErr w:type="spellEnd"/>
                  <w:r w:rsidRPr="00BC3A12">
                    <w:rPr>
                      <w:rFonts w:ascii="Times New Roman" w:eastAsia="Times New Roman" w:hAnsi="Times New Roman"/>
                      <w:sz w:val="24"/>
                      <w:szCs w:val="24"/>
                    </w:rPr>
                    <w:t xml:space="preserve"> (Austria) AVR-S 3000</w:t>
                  </w:r>
                </w:p>
              </w:tc>
              <w:tc>
                <w:tcPr>
                  <w:tcW w:w="1106" w:type="dxa"/>
                </w:tcPr>
                <w:p w14:paraId="75DEDDB5"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kasutusel</w:t>
                  </w:r>
                </w:p>
              </w:tc>
              <w:tc>
                <w:tcPr>
                  <w:tcW w:w="693" w:type="dxa"/>
                </w:tcPr>
                <w:p w14:paraId="01EC6477"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2019</w:t>
                  </w:r>
                </w:p>
              </w:tc>
              <w:tc>
                <w:tcPr>
                  <w:tcW w:w="1357" w:type="dxa"/>
                </w:tcPr>
                <w:p w14:paraId="64D6D882"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Uus ja korras</w:t>
                  </w:r>
                </w:p>
              </w:tc>
              <w:tc>
                <w:tcPr>
                  <w:tcW w:w="661" w:type="dxa"/>
                </w:tcPr>
                <w:p w14:paraId="213CE4AC" w14:textId="77777777" w:rsidR="00BC3A12" w:rsidRPr="00BC3A12" w:rsidRDefault="00BC3A12" w:rsidP="00385616">
                  <w:pPr>
                    <w:spacing w:after="0" w:line="240" w:lineRule="auto"/>
                    <w:rPr>
                      <w:rFonts w:ascii="Times New Roman" w:eastAsia="Times New Roman" w:hAnsi="Times New Roman"/>
                      <w:sz w:val="24"/>
                      <w:szCs w:val="24"/>
                    </w:rPr>
                  </w:pPr>
                </w:p>
              </w:tc>
            </w:tr>
            <w:tr w:rsidR="00BC3A12" w:rsidRPr="00BC3A12" w14:paraId="5B1744B2" w14:textId="77777777" w:rsidTr="004F665C">
              <w:tc>
                <w:tcPr>
                  <w:tcW w:w="601" w:type="dxa"/>
                </w:tcPr>
                <w:p w14:paraId="5ABCE013" w14:textId="77777777" w:rsidR="00BC3A12" w:rsidRPr="00BC3A12" w:rsidRDefault="00BC3A12" w:rsidP="00385616">
                  <w:pPr>
                    <w:spacing w:after="0" w:line="240" w:lineRule="auto"/>
                    <w:rPr>
                      <w:rFonts w:ascii="Times New Roman" w:eastAsia="Times New Roman" w:hAnsi="Times New Roman"/>
                      <w:sz w:val="24"/>
                      <w:szCs w:val="24"/>
                    </w:rPr>
                  </w:pPr>
                </w:p>
              </w:tc>
              <w:tc>
                <w:tcPr>
                  <w:tcW w:w="1461" w:type="dxa"/>
                </w:tcPr>
                <w:p w14:paraId="1AED313D"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KATLAMAJA</w:t>
                  </w:r>
                </w:p>
              </w:tc>
              <w:tc>
                <w:tcPr>
                  <w:tcW w:w="1046" w:type="dxa"/>
                </w:tcPr>
                <w:p w14:paraId="1886C010" w14:textId="77777777" w:rsidR="00BC3A12" w:rsidRPr="00BC3A12" w:rsidRDefault="00BC3A12" w:rsidP="00385616">
                  <w:pPr>
                    <w:spacing w:after="0" w:line="240" w:lineRule="auto"/>
                    <w:rPr>
                      <w:rFonts w:ascii="Times New Roman" w:eastAsia="Times New Roman" w:hAnsi="Times New Roman"/>
                      <w:sz w:val="24"/>
                      <w:szCs w:val="24"/>
                    </w:rPr>
                  </w:pPr>
                  <w:r w:rsidRPr="00BC3A12">
                    <w:rPr>
                      <w:rFonts w:ascii="Times New Roman" w:eastAsia="Times New Roman" w:hAnsi="Times New Roman"/>
                      <w:sz w:val="24"/>
                      <w:szCs w:val="24"/>
                    </w:rPr>
                    <w:t>9000kW</w:t>
                  </w:r>
                </w:p>
              </w:tc>
              <w:tc>
                <w:tcPr>
                  <w:tcW w:w="2137" w:type="dxa"/>
                </w:tcPr>
                <w:p w14:paraId="0482E38F" w14:textId="77777777" w:rsidR="00BC3A12" w:rsidRPr="00BC3A12" w:rsidRDefault="00BC3A12" w:rsidP="00385616">
                  <w:pPr>
                    <w:spacing w:after="0" w:line="240" w:lineRule="auto"/>
                    <w:rPr>
                      <w:rFonts w:ascii="Times New Roman" w:eastAsia="Times New Roman" w:hAnsi="Times New Roman"/>
                      <w:sz w:val="24"/>
                      <w:szCs w:val="24"/>
                    </w:rPr>
                  </w:pPr>
                </w:p>
              </w:tc>
              <w:tc>
                <w:tcPr>
                  <w:tcW w:w="1106" w:type="dxa"/>
                </w:tcPr>
                <w:p w14:paraId="2C608BD7" w14:textId="77777777" w:rsidR="00BC3A12" w:rsidRPr="00BC3A12" w:rsidRDefault="00BC3A12" w:rsidP="00385616">
                  <w:pPr>
                    <w:spacing w:after="0" w:line="240" w:lineRule="auto"/>
                    <w:rPr>
                      <w:rFonts w:ascii="Times New Roman" w:eastAsia="Times New Roman" w:hAnsi="Times New Roman"/>
                      <w:sz w:val="24"/>
                      <w:szCs w:val="24"/>
                    </w:rPr>
                  </w:pPr>
                </w:p>
              </w:tc>
              <w:tc>
                <w:tcPr>
                  <w:tcW w:w="693" w:type="dxa"/>
                </w:tcPr>
                <w:p w14:paraId="0EE17500" w14:textId="77777777" w:rsidR="00BC3A12" w:rsidRPr="00BC3A12" w:rsidRDefault="00BC3A12" w:rsidP="00385616">
                  <w:pPr>
                    <w:spacing w:after="0" w:line="240" w:lineRule="auto"/>
                    <w:rPr>
                      <w:rFonts w:ascii="Times New Roman" w:eastAsia="Times New Roman" w:hAnsi="Times New Roman"/>
                      <w:sz w:val="24"/>
                      <w:szCs w:val="24"/>
                    </w:rPr>
                  </w:pPr>
                </w:p>
              </w:tc>
              <w:tc>
                <w:tcPr>
                  <w:tcW w:w="1357" w:type="dxa"/>
                </w:tcPr>
                <w:p w14:paraId="7A5235D2" w14:textId="77777777" w:rsidR="00BC3A12" w:rsidRPr="00BC3A12" w:rsidRDefault="00BC3A12" w:rsidP="00385616">
                  <w:pPr>
                    <w:spacing w:after="0" w:line="240" w:lineRule="auto"/>
                    <w:rPr>
                      <w:rFonts w:ascii="Times New Roman" w:eastAsia="Times New Roman" w:hAnsi="Times New Roman"/>
                      <w:sz w:val="24"/>
                      <w:szCs w:val="24"/>
                    </w:rPr>
                  </w:pPr>
                </w:p>
              </w:tc>
              <w:tc>
                <w:tcPr>
                  <w:tcW w:w="661" w:type="dxa"/>
                </w:tcPr>
                <w:p w14:paraId="3EE7BBAA" w14:textId="77777777" w:rsidR="00BC3A12" w:rsidRPr="00BC3A12" w:rsidRDefault="00BC3A12" w:rsidP="00385616">
                  <w:pPr>
                    <w:spacing w:after="0" w:line="240" w:lineRule="auto"/>
                    <w:rPr>
                      <w:rFonts w:ascii="Times New Roman" w:eastAsia="Times New Roman" w:hAnsi="Times New Roman"/>
                      <w:sz w:val="24"/>
                      <w:szCs w:val="24"/>
                    </w:rPr>
                  </w:pPr>
                </w:p>
              </w:tc>
            </w:tr>
          </w:tbl>
          <w:p w14:paraId="26B335A2" w14:textId="77777777" w:rsidR="00BC3A12" w:rsidRPr="00BC3A12" w:rsidRDefault="00BC3A12" w:rsidP="00385616">
            <w:pPr>
              <w:keepNext/>
              <w:tabs>
                <w:tab w:val="left" w:pos="708"/>
              </w:tabs>
              <w:spacing w:after="0" w:line="240" w:lineRule="auto"/>
              <w:ind w:right="26"/>
              <w:jc w:val="both"/>
              <w:outlineLvl w:val="0"/>
              <w:rPr>
                <w:rFonts w:ascii="Times New Roman" w:eastAsiaTheme="majorEastAsia" w:hAnsi="Times New Roman"/>
                <w:sz w:val="24"/>
                <w:szCs w:val="24"/>
              </w:rPr>
            </w:pPr>
          </w:p>
          <w:p w14:paraId="441D60F1" w14:textId="77777777" w:rsidR="00BC3A12" w:rsidRPr="00BC3A12" w:rsidRDefault="00BC3A12" w:rsidP="00385616">
            <w:pPr>
              <w:keepNext/>
              <w:numPr>
                <w:ilvl w:val="0"/>
                <w:numId w:val="7"/>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 xml:space="preserve"> Arengukava Tabelis 8 (arengukava lk  19-20) jäetakse välja </w:t>
            </w:r>
          </w:p>
          <w:p w14:paraId="361CD644" w14:textId="77777777" w:rsidR="00BC3A12" w:rsidRPr="00BC3A12" w:rsidRDefault="00BC3A12" w:rsidP="00385616">
            <w:pPr>
              <w:keepNext/>
              <w:numPr>
                <w:ilvl w:val="0"/>
                <w:numId w:val="6"/>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real „Jrk nr 1-S-1“ veerus „Pikkus“ välja sõnad „sh NRE 500m“;</w:t>
            </w:r>
          </w:p>
          <w:p w14:paraId="0B54CAF2" w14:textId="77777777" w:rsidR="00BC3A12" w:rsidRPr="00BC3A12" w:rsidRDefault="00BC3A12" w:rsidP="00385616">
            <w:pPr>
              <w:keepNext/>
              <w:numPr>
                <w:ilvl w:val="0"/>
                <w:numId w:val="6"/>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real „1-S-2“ veerus „Konstruktsioon“ välja sõna „NRE“, veerus „Rajamisaeg“ välja sõna „NRE“ ja veerus „Märkused“ välja sõna „NRE“;</w:t>
            </w:r>
          </w:p>
          <w:p w14:paraId="4EFA4A07" w14:textId="77777777" w:rsidR="00BC3A12" w:rsidRPr="00BC3A12" w:rsidRDefault="00BC3A12" w:rsidP="00385616">
            <w:pPr>
              <w:keepNext/>
              <w:numPr>
                <w:ilvl w:val="0"/>
                <w:numId w:val="6"/>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real „1-S-4“ veerus „Pikkus“ välja sõnad „sh NRE 610m“, veerus „Rajamisaeg“ välja sõna „NRE“;</w:t>
            </w:r>
          </w:p>
          <w:p w14:paraId="72F6DD82" w14:textId="77777777" w:rsidR="00BC3A12" w:rsidRPr="00BC3A12" w:rsidRDefault="00BC3A12" w:rsidP="00385616">
            <w:pPr>
              <w:widowControl w:val="0"/>
              <w:numPr>
                <w:ilvl w:val="0"/>
                <w:numId w:val="6"/>
              </w:numPr>
              <w:autoSpaceDE w:val="0"/>
              <w:autoSpaceDN w:val="0"/>
              <w:spacing w:after="0" w:line="240" w:lineRule="auto"/>
              <w:contextualSpacing/>
              <w:rPr>
                <w:rFonts w:ascii="Times New Roman" w:eastAsia="Times New Roman" w:hAnsi="Times New Roman"/>
                <w:sz w:val="24"/>
                <w:szCs w:val="24"/>
              </w:rPr>
            </w:pPr>
            <w:r w:rsidRPr="00BC3A12">
              <w:rPr>
                <w:rFonts w:ascii="Times New Roman" w:eastAsia="Times New Roman" w:hAnsi="Times New Roman"/>
                <w:sz w:val="24"/>
                <w:szCs w:val="24"/>
              </w:rPr>
              <w:t>tabeli all olevatest märkustest jäetakse välja märkus 2) NRE- N.R. Energy;</w:t>
            </w:r>
          </w:p>
          <w:p w14:paraId="039CC4CF" w14:textId="77777777" w:rsidR="00BC3A12" w:rsidRPr="00BC3A12" w:rsidRDefault="00BC3A12" w:rsidP="00385616">
            <w:pPr>
              <w:widowControl w:val="0"/>
              <w:autoSpaceDE w:val="0"/>
              <w:autoSpaceDN w:val="0"/>
              <w:spacing w:after="0" w:line="240" w:lineRule="auto"/>
              <w:ind w:left="1565"/>
              <w:contextualSpacing/>
              <w:rPr>
                <w:rFonts w:ascii="Times New Roman" w:eastAsia="Times New Roman" w:hAnsi="Times New Roman"/>
                <w:sz w:val="24"/>
                <w:szCs w:val="24"/>
              </w:rPr>
            </w:pPr>
          </w:p>
          <w:p w14:paraId="3036E0FD" w14:textId="0A2F755F" w:rsidR="00BC3A12" w:rsidRDefault="00BC3A12" w:rsidP="00385616">
            <w:pPr>
              <w:widowControl w:val="0"/>
              <w:numPr>
                <w:ilvl w:val="0"/>
                <w:numId w:val="6"/>
              </w:numPr>
              <w:autoSpaceDE w:val="0"/>
              <w:autoSpaceDN w:val="0"/>
              <w:spacing w:after="0" w:line="240" w:lineRule="auto"/>
              <w:contextualSpacing/>
              <w:rPr>
                <w:rFonts w:ascii="Times New Roman" w:eastAsia="Times New Roman" w:hAnsi="Times New Roman"/>
                <w:sz w:val="24"/>
                <w:szCs w:val="24"/>
              </w:rPr>
            </w:pPr>
            <w:r w:rsidRPr="00BC3A12">
              <w:rPr>
                <w:rFonts w:ascii="Times New Roman" w:eastAsia="Times New Roman" w:hAnsi="Times New Roman"/>
                <w:sz w:val="24"/>
                <w:szCs w:val="24"/>
              </w:rPr>
              <w:t>märkused 3) ja 4) loetakse vastavalt märkusteks 2) ja 3).</w:t>
            </w:r>
          </w:p>
          <w:p w14:paraId="46B7BE5B" w14:textId="77777777" w:rsidR="00BC3A12" w:rsidRDefault="00BC3A12" w:rsidP="00385616">
            <w:pPr>
              <w:pStyle w:val="Loendilik"/>
              <w:spacing w:after="0"/>
              <w:rPr>
                <w:rFonts w:ascii="Times New Roman" w:eastAsia="Times New Roman" w:hAnsi="Times New Roman"/>
                <w:sz w:val="24"/>
                <w:szCs w:val="24"/>
              </w:rPr>
            </w:pPr>
          </w:p>
          <w:p w14:paraId="44620EB2" w14:textId="77777777" w:rsidR="00BC3A12" w:rsidRPr="00BC3A12" w:rsidRDefault="00BC3A12" w:rsidP="00385616">
            <w:pPr>
              <w:keepNext/>
              <w:numPr>
                <w:ilvl w:val="0"/>
                <w:numId w:val="7"/>
              </w:numPr>
              <w:tabs>
                <w:tab w:val="left" w:pos="708"/>
              </w:tabs>
              <w:spacing w:after="0" w:line="240" w:lineRule="auto"/>
              <w:ind w:right="26"/>
              <w:jc w:val="both"/>
              <w:outlineLvl w:val="0"/>
              <w:rPr>
                <w:rFonts w:ascii="Times New Roman" w:eastAsiaTheme="majorEastAsia" w:hAnsi="Times New Roman"/>
                <w:sz w:val="24"/>
                <w:szCs w:val="24"/>
              </w:rPr>
            </w:pPr>
            <w:r w:rsidRPr="00BC3A12">
              <w:rPr>
                <w:rFonts w:ascii="Times New Roman" w:eastAsiaTheme="majorEastAsia" w:hAnsi="Times New Roman"/>
                <w:sz w:val="24"/>
                <w:szCs w:val="24"/>
              </w:rPr>
              <w:t xml:space="preserve"> Tabeli 11 (arengukava lk 29-30) veerus „KATLAMAJA KOKKU“ märkuste lahtris muudetakse sõnastust järgmiselt „Rekonstrueerimine ca 2 200 000 EUR (ilma käibemaksuta)“.</w:t>
            </w:r>
          </w:p>
          <w:p w14:paraId="00DA92C4" w14:textId="77777777" w:rsidR="00BC3A12" w:rsidRPr="00BC3A12" w:rsidRDefault="00BC3A12" w:rsidP="00385616">
            <w:pPr>
              <w:widowControl w:val="0"/>
              <w:numPr>
                <w:ilvl w:val="0"/>
                <w:numId w:val="7"/>
              </w:numPr>
              <w:autoSpaceDE w:val="0"/>
              <w:autoSpaceDN w:val="0"/>
              <w:spacing w:after="0" w:line="240" w:lineRule="auto"/>
              <w:contextualSpacing/>
              <w:jc w:val="both"/>
              <w:rPr>
                <w:rFonts w:ascii="Times New Roman" w:eastAsia="Times New Roman" w:hAnsi="Times New Roman"/>
                <w:sz w:val="24"/>
                <w:szCs w:val="24"/>
              </w:rPr>
            </w:pPr>
            <w:r w:rsidRPr="00BC3A12">
              <w:rPr>
                <w:rFonts w:ascii="Times New Roman" w:eastAsia="Times New Roman" w:hAnsi="Times New Roman"/>
                <w:sz w:val="24"/>
                <w:szCs w:val="24"/>
              </w:rPr>
              <w:lastRenderedPageBreak/>
              <w:t>Arengukava punktis 3.3.1 (Arengukava lk 39) asendatakse lause „Nimetatud ühendustorustiku rekonstrueerimiseks tuleks taotleda vastavad isiklikud kasutusõigused (servituudid) mitmekümnelt kinnistult“ lausega „Nimetatud ühendustorustiku rekonstrueerimiseks tuleks saada puudutatud kinnistute omanike nõusolek või sõlmida vastavad isikliku kasutusõiguse lepingud.“</w:t>
            </w:r>
          </w:p>
          <w:p w14:paraId="5C3D2359" w14:textId="77777777" w:rsidR="00BC3A12" w:rsidRPr="00BC3A12" w:rsidRDefault="00BC3A12" w:rsidP="00385616">
            <w:pPr>
              <w:spacing w:after="0"/>
              <w:ind w:left="1145"/>
              <w:contextualSpacing/>
              <w:rPr>
                <w:rFonts w:ascii="Times New Roman" w:eastAsia="Times New Roman" w:hAnsi="Times New Roman"/>
                <w:sz w:val="24"/>
                <w:szCs w:val="24"/>
              </w:rPr>
            </w:pPr>
          </w:p>
          <w:p w14:paraId="3081E560" w14:textId="77777777" w:rsidR="00BC3A12" w:rsidRPr="00BC3A12" w:rsidRDefault="00BC3A12" w:rsidP="00385616">
            <w:pPr>
              <w:tabs>
                <w:tab w:val="left" w:pos="5387"/>
              </w:tabs>
              <w:spacing w:after="0" w:line="240" w:lineRule="auto"/>
              <w:rPr>
                <w:rFonts w:ascii="Times New Roman" w:eastAsia="Times New Roman" w:hAnsi="Times New Roman"/>
                <w:b/>
                <w:sz w:val="24"/>
                <w:szCs w:val="24"/>
              </w:rPr>
            </w:pPr>
            <w:r w:rsidRPr="00BC3A12">
              <w:rPr>
                <w:rFonts w:ascii="Times New Roman" w:eastAsia="Times New Roman" w:hAnsi="Times New Roman"/>
                <w:b/>
                <w:sz w:val="24"/>
                <w:szCs w:val="24"/>
              </w:rPr>
              <w:t>§ 2. Määruse jõustumine</w:t>
            </w:r>
          </w:p>
          <w:p w14:paraId="0249633A" w14:textId="77777777" w:rsidR="00BC3A12" w:rsidRPr="00BC3A12" w:rsidRDefault="00BC3A12" w:rsidP="00385616">
            <w:pPr>
              <w:widowControl w:val="0"/>
              <w:spacing w:after="0" w:line="240" w:lineRule="auto"/>
              <w:jc w:val="both"/>
              <w:rPr>
                <w:rFonts w:ascii="Times New Roman" w:eastAsia="NSimSun" w:hAnsi="Times New Roman"/>
                <w:sz w:val="24"/>
                <w:szCs w:val="24"/>
                <w:lang w:eastAsia="zh-CN" w:bidi="hi-IN"/>
              </w:rPr>
            </w:pPr>
            <w:r w:rsidRPr="00BC3A12">
              <w:rPr>
                <w:rFonts w:ascii="Times New Roman" w:eastAsia="NSimSun" w:hAnsi="Times New Roman"/>
                <w:sz w:val="24"/>
                <w:szCs w:val="24"/>
                <w:lang w:eastAsia="zh-CN" w:bidi="hi-IN"/>
              </w:rPr>
              <w:t>Määrus jõustub kolmandal päeval pärast Riigi Teatajas avaldamist.</w:t>
            </w:r>
          </w:p>
          <w:p w14:paraId="5171D3F4" w14:textId="0AA85879" w:rsidR="00A357CC" w:rsidRDefault="00A357CC" w:rsidP="00385616">
            <w:pPr>
              <w:tabs>
                <w:tab w:val="left" w:pos="5387"/>
              </w:tabs>
              <w:spacing w:after="0" w:line="240" w:lineRule="auto"/>
              <w:jc w:val="both"/>
              <w:rPr>
                <w:rFonts w:ascii="Times New Roman" w:hAnsi="Times New Roman"/>
                <w:sz w:val="24"/>
                <w:szCs w:val="24"/>
              </w:rPr>
            </w:pPr>
          </w:p>
        </w:tc>
      </w:tr>
      <w:tr w:rsidR="00A357CC" w14:paraId="5171D3F7" w14:textId="77777777" w:rsidTr="00385616">
        <w:tc>
          <w:tcPr>
            <w:tcW w:w="9681" w:type="dxa"/>
            <w:gridSpan w:val="2"/>
          </w:tcPr>
          <w:p w14:paraId="5171D3F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5171D3FE" w14:textId="77777777" w:rsidTr="00E13B6E">
        <w:tc>
          <w:tcPr>
            <w:tcW w:w="4677" w:type="dxa"/>
            <w:shd w:val="clear" w:color="auto" w:fill="auto"/>
          </w:tcPr>
          <w:p w14:paraId="5171D3F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171D3F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171D3FC" w14:textId="074E0AD6"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34E41">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34E41">
              <w:rPr>
                <w:rFonts w:ascii="Times New Roman" w:hAnsi="Times New Roman"/>
                <w:sz w:val="24"/>
                <w:szCs w:val="24"/>
              </w:rPr>
              <w:t>Alari Kirt</w:t>
            </w:r>
            <w:r>
              <w:rPr>
                <w:rFonts w:ascii="Times New Roman" w:hAnsi="Times New Roman"/>
                <w:sz w:val="24"/>
                <w:szCs w:val="24"/>
              </w:rPr>
              <w:fldChar w:fldCharType="end"/>
            </w:r>
          </w:p>
          <w:p w14:paraId="5171D3FD" w14:textId="7191A63E"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34E41">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34E41">
              <w:rPr>
                <w:rFonts w:ascii="Times New Roman" w:hAnsi="Times New Roman"/>
                <w:sz w:val="24"/>
                <w:szCs w:val="24"/>
              </w:rPr>
              <w:t>volikogu esimees</w:t>
            </w:r>
            <w:r>
              <w:rPr>
                <w:rFonts w:ascii="Times New Roman" w:hAnsi="Times New Roman"/>
                <w:sz w:val="24"/>
                <w:szCs w:val="24"/>
              </w:rPr>
              <w:fldChar w:fldCharType="end"/>
            </w:r>
          </w:p>
        </w:tc>
      </w:tr>
    </w:tbl>
    <w:p w14:paraId="5171D3FF" w14:textId="77777777" w:rsidR="00A357CC" w:rsidRDefault="00A357CC" w:rsidP="002B1191">
      <w:pPr>
        <w:spacing w:after="0" w:line="240" w:lineRule="auto"/>
        <w:rPr>
          <w:rFonts w:ascii="Times New Roman" w:hAnsi="Times New Roman"/>
          <w:sz w:val="24"/>
          <w:szCs w:val="24"/>
        </w:rPr>
      </w:pPr>
    </w:p>
    <w:p w14:paraId="5171D400" w14:textId="77777777" w:rsidR="00C27542" w:rsidRDefault="00C27542" w:rsidP="002B1191">
      <w:pPr>
        <w:spacing w:after="0" w:line="240" w:lineRule="auto"/>
        <w:rPr>
          <w:rFonts w:ascii="Times New Roman" w:hAnsi="Times New Roman"/>
          <w:sz w:val="24"/>
          <w:szCs w:val="24"/>
        </w:rPr>
      </w:pPr>
    </w:p>
    <w:p w14:paraId="5171D405"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5171D408" w14:textId="77777777" w:rsidTr="000821E2">
        <w:trPr>
          <w:trHeight w:val="377"/>
        </w:trPr>
        <w:tc>
          <w:tcPr>
            <w:tcW w:w="9354" w:type="dxa"/>
            <w:gridSpan w:val="3"/>
          </w:tcPr>
          <w:p w14:paraId="533996B7" w14:textId="0E66CA0C" w:rsidR="00C27542" w:rsidRDefault="006F0C8B" w:rsidP="002B1191">
            <w:pPr>
              <w:spacing w:after="0" w:line="240" w:lineRule="auto"/>
              <w:rPr>
                <w:rFonts w:ascii="Times New Roman" w:hAnsi="Times New Roman"/>
                <w:b/>
                <w:sz w:val="24"/>
                <w:szCs w:val="24"/>
              </w:rPr>
            </w:pPr>
            <w:r>
              <w:rPr>
                <w:rFonts w:ascii="Times New Roman" w:hAnsi="Times New Roman"/>
                <w:b/>
                <w:sz w:val="24"/>
                <w:szCs w:val="24"/>
              </w:rPr>
              <w:t>S</w:t>
            </w:r>
            <w:r w:rsidR="00C27542" w:rsidRPr="00C27542">
              <w:rPr>
                <w:rFonts w:ascii="Times New Roman" w:hAnsi="Times New Roman"/>
                <w:b/>
                <w:sz w:val="24"/>
                <w:szCs w:val="24"/>
              </w:rPr>
              <w:t>eletuskiri</w:t>
            </w:r>
          </w:p>
          <w:p w14:paraId="5171D407" w14:textId="7FC21200" w:rsidR="00F51E78" w:rsidRPr="00C27542" w:rsidRDefault="00F51E78" w:rsidP="002B1191">
            <w:pPr>
              <w:spacing w:after="0" w:line="240" w:lineRule="auto"/>
              <w:rPr>
                <w:rFonts w:ascii="Times New Roman" w:hAnsi="Times New Roman"/>
                <w:b/>
                <w:sz w:val="24"/>
                <w:szCs w:val="24"/>
              </w:rPr>
            </w:pPr>
          </w:p>
        </w:tc>
      </w:tr>
      <w:tr w:rsidR="00C27542" w14:paraId="5171D40A" w14:textId="77777777" w:rsidTr="00435C14">
        <w:tc>
          <w:tcPr>
            <w:tcW w:w="9354" w:type="dxa"/>
            <w:gridSpan w:val="3"/>
          </w:tcPr>
          <w:p w14:paraId="325687D8" w14:textId="6C45A6AA" w:rsidR="00F51E78" w:rsidRPr="00F51E78" w:rsidRDefault="00F51E78" w:rsidP="00F51E78">
            <w:pPr>
              <w:adjustRightInd w:val="0"/>
              <w:jc w:val="both"/>
              <w:rPr>
                <w:rFonts w:ascii="Times New Roman" w:eastAsia="Times New Roman" w:hAnsi="Times New Roman"/>
                <w:sz w:val="24"/>
                <w:szCs w:val="24"/>
              </w:rPr>
            </w:pPr>
            <w:r w:rsidRPr="00F51E78">
              <w:rPr>
                <w:rFonts w:ascii="Times New Roman" w:eastAsia="Times New Roman" w:hAnsi="Times New Roman"/>
                <w:sz w:val="24"/>
                <w:szCs w:val="24"/>
              </w:rPr>
              <w:t xml:space="preserve">Tartu Halduskohus menetles haldusasjas nr 3-20-977 N.R. Energy Osaühingu 22.05.2020 esitatud kaebust Tapa valla kohustamiseks lõpetama N.R. Energy Osaühingu kohta ebaõige teabe avaldamine, tunnistades kehtetuks </w:t>
            </w:r>
            <w:hyperlink r:id="rId7" w:history="1">
              <w:r w:rsidRPr="00F51E78">
                <w:rPr>
                  <w:rFonts w:ascii="Times New Roman" w:eastAsia="Times New Roman" w:hAnsi="Times New Roman"/>
                  <w:color w:val="0000FF"/>
                  <w:sz w:val="24"/>
                  <w:szCs w:val="24"/>
                  <w:u w:val="single"/>
                </w:rPr>
                <w:t>Tapa valla soojusmajanduse arengukava 2020-2032</w:t>
              </w:r>
            </w:hyperlink>
            <w:r w:rsidRPr="00F51E78">
              <w:rPr>
                <w:rFonts w:ascii="Times New Roman" w:eastAsia="Times New Roman" w:hAnsi="Times New Roman"/>
                <w:sz w:val="24"/>
                <w:szCs w:val="24"/>
              </w:rPr>
              <w:t xml:space="preserve"> (edaspidi </w:t>
            </w:r>
            <w:r w:rsidRPr="00F51E78">
              <w:rPr>
                <w:rFonts w:ascii="Times New Roman" w:eastAsia="Times New Roman" w:hAnsi="Times New Roman"/>
                <w:b/>
                <w:bCs/>
                <w:sz w:val="24"/>
                <w:szCs w:val="24"/>
              </w:rPr>
              <w:t>Arengukava</w:t>
            </w:r>
            <w:r w:rsidRPr="00F51E78">
              <w:rPr>
                <w:rFonts w:ascii="Times New Roman" w:eastAsia="Times New Roman" w:hAnsi="Times New Roman"/>
                <w:sz w:val="24"/>
                <w:szCs w:val="24"/>
              </w:rPr>
              <w:t>).</w:t>
            </w:r>
          </w:p>
          <w:p w14:paraId="3CA62663" w14:textId="77777777" w:rsidR="00F51E78" w:rsidRPr="00F51E78" w:rsidRDefault="00F51E78" w:rsidP="00F51E78">
            <w:pPr>
              <w:widowControl w:val="0"/>
              <w:spacing w:after="0" w:line="240" w:lineRule="auto"/>
              <w:jc w:val="both"/>
              <w:rPr>
                <w:rFonts w:ascii="Times New Roman" w:eastAsiaTheme="minorHAnsi" w:hAnsi="Times New Roman" w:cs="Liberation Mono"/>
                <w:sz w:val="24"/>
                <w:szCs w:val="24"/>
                <w:lang w:eastAsia="zh-CN" w:bidi="hi-IN"/>
              </w:rPr>
            </w:pPr>
            <w:r w:rsidRPr="00F51E78">
              <w:rPr>
                <w:rFonts w:ascii="Times New Roman" w:eastAsia="NSimSun" w:hAnsi="Times New Roman" w:cs="Liberation Mono"/>
                <w:sz w:val="24"/>
                <w:szCs w:val="24"/>
                <w:lang w:eastAsia="et-EE" w:bidi="hi-IN"/>
              </w:rPr>
              <w:t>Tapa Vallavolikogu arutas 30. juuni 2022 istungil nimetatud kohtuasjas kompromissi sõlmimise võimalikkust ning otsustas h</w:t>
            </w:r>
            <w:r w:rsidRPr="00F51E78">
              <w:rPr>
                <w:rFonts w:ascii="Times New Roman" w:eastAsiaTheme="minorHAnsi" w:hAnsi="Times New Roman" w:cs="Liberation Mono"/>
                <w:sz w:val="24"/>
                <w:szCs w:val="24"/>
                <w:lang w:eastAsia="zh-CN" w:bidi="hi-IN"/>
              </w:rPr>
              <w:t xml:space="preserve">äälteenamusega (11 poolthäält, 2 vastuhäält, 5 erapooletut) võtta vastu protokolline otsus, millega Tapa Vallavolikogu võtab endale õigusrahu huvides kohustuse hiljemalt 31.10.2022 viia sisse Tapa valla soojusmajanduse arengukava 2020-2032 teksti kohtuliku kompromissi tingimustes kokkulepitu. Kompromisslepingut allkirjastama volitati volikogu esimeest. </w:t>
            </w:r>
          </w:p>
          <w:p w14:paraId="4D1B714A"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p>
          <w:p w14:paraId="30D60F1B"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r w:rsidRPr="00F51E78">
              <w:rPr>
                <w:rFonts w:ascii="Times New Roman" w:eastAsia="NSimSun" w:hAnsi="Times New Roman" w:cs="Liberation Mono"/>
                <w:sz w:val="24"/>
                <w:szCs w:val="24"/>
                <w:lang w:eastAsia="et-EE" w:bidi="hi-IN"/>
              </w:rPr>
              <w:t>Kohus kinnitas 12.07.2022 määrusega poolte vahel sõlmitud kompromisslepingu ja lõpetas haldusasja menetluse. Määrus jõustus 28.07.2022.</w:t>
            </w:r>
          </w:p>
          <w:p w14:paraId="1F0E55E1"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p>
          <w:p w14:paraId="04014EC4"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r w:rsidRPr="00F51E78">
              <w:rPr>
                <w:rFonts w:ascii="Times New Roman" w:eastAsia="NSimSun" w:hAnsi="Times New Roman" w:cs="Liberation Mono"/>
                <w:sz w:val="24"/>
                <w:szCs w:val="24"/>
                <w:lang w:eastAsia="et-EE" w:bidi="hi-IN"/>
              </w:rPr>
              <w:t xml:space="preserve">Tulenevalt kompromisslepingust kohustus Tapa Vallavolikogu viima hiljemalt 31. oktoobriks 2022 Arengukavasse sisse kokku lepitud muudatused. Nimetatud muudatused kajastuvad määruse eelnõus. </w:t>
            </w:r>
          </w:p>
          <w:p w14:paraId="41376741"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p>
          <w:p w14:paraId="05810F58" w14:textId="77777777" w:rsidR="00F51E78" w:rsidRPr="00F51E78" w:rsidRDefault="00F51E78" w:rsidP="00F51E78">
            <w:pPr>
              <w:widowControl w:val="0"/>
              <w:spacing w:after="0" w:line="240" w:lineRule="auto"/>
              <w:jc w:val="both"/>
              <w:rPr>
                <w:rFonts w:ascii="Times New Roman" w:eastAsia="NSimSun" w:hAnsi="Times New Roman" w:cs="Liberation Mono"/>
                <w:sz w:val="24"/>
                <w:szCs w:val="24"/>
                <w:lang w:eastAsia="et-EE" w:bidi="hi-IN"/>
              </w:rPr>
            </w:pPr>
            <w:r w:rsidRPr="00F51E78">
              <w:rPr>
                <w:rFonts w:ascii="Times New Roman" w:eastAsia="NSimSun" w:hAnsi="Times New Roman" w:cs="Liberation Mono"/>
                <w:sz w:val="24"/>
                <w:szCs w:val="24"/>
                <w:lang w:eastAsia="et-EE" w:bidi="hi-IN"/>
              </w:rPr>
              <w:t>Lähtuvalt eeltoodust kavandatakse määruse eelnõuga viia kompromisslepingus kokkulepitud muudatused soojusmajanduse arengukavasse.</w:t>
            </w:r>
          </w:p>
          <w:p w14:paraId="43365792" w14:textId="77777777" w:rsidR="00F51E78" w:rsidRPr="00F51E78" w:rsidRDefault="00F51E78" w:rsidP="00F51E78">
            <w:pPr>
              <w:spacing w:after="0" w:line="240" w:lineRule="auto"/>
              <w:jc w:val="both"/>
              <w:rPr>
                <w:rFonts w:ascii="Times New Roman" w:eastAsia="Times New Roman" w:hAnsi="Times New Roman"/>
                <w:sz w:val="24"/>
                <w:szCs w:val="24"/>
                <w:lang w:eastAsia="et-EE"/>
              </w:rPr>
            </w:pPr>
          </w:p>
          <w:p w14:paraId="16CA4326" w14:textId="77777777" w:rsidR="00F51E78" w:rsidRPr="00F51E78" w:rsidRDefault="00F51E78" w:rsidP="00F51E78">
            <w:pPr>
              <w:widowControl w:val="0"/>
              <w:spacing w:after="0" w:line="240" w:lineRule="auto"/>
              <w:jc w:val="both"/>
              <w:rPr>
                <w:rFonts w:ascii="Times New Roman" w:eastAsia="NSimSun" w:hAnsi="Times New Roman"/>
                <w:sz w:val="24"/>
                <w:szCs w:val="24"/>
              </w:rPr>
            </w:pPr>
            <w:bookmarkStart w:id="0" w:name="para3lg1"/>
            <w:bookmarkEnd w:id="0"/>
            <w:r w:rsidRPr="00F51E78">
              <w:rPr>
                <w:rFonts w:ascii="Times New Roman" w:eastAsia="NSimSun" w:hAnsi="Times New Roman"/>
                <w:sz w:val="24"/>
                <w:szCs w:val="24"/>
              </w:rPr>
              <w:t xml:space="preserve">Halduskohtumenetluse seadustiku § 248 lg 1 kohaselt </w:t>
            </w:r>
            <w:bookmarkStart w:id="1" w:name="para248lg1"/>
            <w:r w:rsidRPr="00F51E78">
              <w:rPr>
                <w:rFonts w:ascii="Times New Roman" w:eastAsia="NSimSun" w:hAnsi="Times New Roman"/>
                <w:sz w:val="24"/>
                <w:szCs w:val="24"/>
              </w:rPr>
              <w:t xml:space="preserve">määrab kohus </w:t>
            </w:r>
            <w:bookmarkEnd w:id="1"/>
            <w:r w:rsidRPr="00F51E78">
              <w:rPr>
                <w:rFonts w:ascii="Times New Roman" w:eastAsia="NSimSun" w:hAnsi="Times New Roman"/>
                <w:sz w:val="24"/>
                <w:szCs w:val="24"/>
              </w:rPr>
              <w:t>k</w:t>
            </w:r>
            <w:r w:rsidRPr="00F51E78">
              <w:rPr>
                <w:rFonts w:ascii="Times New Roman" w:eastAsia="NSimSun" w:hAnsi="Times New Roman"/>
                <w:color w:val="202020"/>
                <w:sz w:val="24"/>
                <w:szCs w:val="24"/>
                <w:shd w:val="clear" w:color="auto" w:fill="FFFFFF"/>
                <w:lang w:eastAsia="zh-CN" w:bidi="hi-IN"/>
              </w:rPr>
              <w:t>ohtulahendi või kohtu kinnitatud kompromissi täitmata jätmise eest süüdiolevale menetlusosalisele rahatrahvi kuni 32 000 eurot. Rahatrahvi määramine ei vabasta kohtuotsuse ettekirjutuse või kohtu kinnitatud kompromissi täitmata jätnud menetlusosalist kohustusest ettekirjutust või kompromissi mõistliku tähtaja jooksul täita ega võta menetlusosaliselt, kelle huvides ettekirjutus on tehtud või kompromiss kinnitatud, õigust taotleda kohtult kohtuotsuse ettekirjutuse või kompromissi täitmata jätmise eest uue rahatrahvi määramist.</w:t>
            </w:r>
          </w:p>
          <w:p w14:paraId="687ECABD" w14:textId="77777777" w:rsidR="00F51E78" w:rsidRPr="00F51E78" w:rsidRDefault="00F51E78" w:rsidP="00F51E78">
            <w:pPr>
              <w:widowControl w:val="0"/>
              <w:spacing w:after="0" w:line="240" w:lineRule="auto"/>
              <w:jc w:val="both"/>
              <w:rPr>
                <w:rFonts w:ascii="Times New Roman" w:eastAsia="Times New Roman" w:hAnsi="Times New Roman"/>
                <w:sz w:val="24"/>
                <w:szCs w:val="24"/>
              </w:rPr>
            </w:pPr>
          </w:p>
          <w:p w14:paraId="5171D409" w14:textId="1A39B161" w:rsidR="00E13B6E" w:rsidRDefault="00E13B6E" w:rsidP="00C27542">
            <w:pPr>
              <w:spacing w:after="0" w:line="240" w:lineRule="auto"/>
              <w:jc w:val="both"/>
              <w:rPr>
                <w:rFonts w:ascii="Times New Roman" w:hAnsi="Times New Roman"/>
                <w:sz w:val="24"/>
                <w:szCs w:val="24"/>
              </w:rPr>
            </w:pPr>
          </w:p>
        </w:tc>
      </w:tr>
      <w:tr w:rsidR="00E13B6E" w14:paraId="5171D40C" w14:textId="77777777" w:rsidTr="00435C14">
        <w:tc>
          <w:tcPr>
            <w:tcW w:w="9354" w:type="dxa"/>
            <w:gridSpan w:val="3"/>
          </w:tcPr>
          <w:p w14:paraId="5171D40B" w14:textId="77777777" w:rsidR="00E13B6E" w:rsidRDefault="00E13B6E" w:rsidP="00C27542">
            <w:pPr>
              <w:spacing w:after="0" w:line="240" w:lineRule="auto"/>
              <w:jc w:val="both"/>
              <w:rPr>
                <w:rFonts w:ascii="Times New Roman" w:hAnsi="Times New Roman"/>
                <w:sz w:val="24"/>
                <w:szCs w:val="24"/>
              </w:rPr>
            </w:pPr>
          </w:p>
        </w:tc>
      </w:tr>
      <w:tr w:rsidR="00435C14" w14:paraId="5171D40F" w14:textId="77777777" w:rsidTr="005027EC">
        <w:trPr>
          <w:gridAfter w:val="1"/>
          <w:wAfter w:w="145" w:type="dxa"/>
        </w:trPr>
        <w:tc>
          <w:tcPr>
            <w:tcW w:w="3261" w:type="dxa"/>
          </w:tcPr>
          <w:p w14:paraId="5171D40D"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5171D40E" w14:textId="11122372" w:rsidR="00435C14" w:rsidRDefault="00880190" w:rsidP="00E13B6E">
            <w:pPr>
              <w:spacing w:after="0" w:line="240" w:lineRule="auto"/>
              <w:rPr>
                <w:rFonts w:ascii="Times New Roman" w:hAnsi="Times New Roman"/>
                <w:sz w:val="24"/>
                <w:szCs w:val="24"/>
              </w:rPr>
            </w:pPr>
            <w:r>
              <w:rPr>
                <w:rFonts w:ascii="Times New Roman" w:hAnsi="Times New Roman"/>
                <w:sz w:val="24"/>
                <w:szCs w:val="24"/>
              </w:rPr>
              <w:t xml:space="preserve">Jurist Margit </w:t>
            </w:r>
            <w:proofErr w:type="spellStart"/>
            <w:r>
              <w:rPr>
                <w:rFonts w:ascii="Times New Roman" w:hAnsi="Times New Roman"/>
                <w:sz w:val="24"/>
                <w:szCs w:val="24"/>
              </w:rPr>
              <w:t>Halop</w:t>
            </w:r>
            <w:proofErr w:type="spellEnd"/>
          </w:p>
        </w:tc>
      </w:tr>
      <w:tr w:rsidR="00435C14" w14:paraId="5171D412" w14:textId="77777777" w:rsidTr="005027EC">
        <w:trPr>
          <w:gridAfter w:val="1"/>
          <w:wAfter w:w="145" w:type="dxa"/>
        </w:trPr>
        <w:tc>
          <w:tcPr>
            <w:tcW w:w="3261" w:type="dxa"/>
          </w:tcPr>
          <w:p w14:paraId="5171D410"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5171D411" w14:textId="7B99589A" w:rsidR="00435C14" w:rsidRDefault="00880190" w:rsidP="00E13B6E">
            <w:pPr>
              <w:spacing w:after="0" w:line="240" w:lineRule="auto"/>
              <w:rPr>
                <w:rFonts w:ascii="Times New Roman" w:hAnsi="Times New Roman"/>
                <w:sz w:val="24"/>
                <w:szCs w:val="24"/>
              </w:rPr>
            </w:pPr>
            <w:r>
              <w:rPr>
                <w:rFonts w:ascii="Times New Roman" w:hAnsi="Times New Roman"/>
                <w:sz w:val="24"/>
                <w:szCs w:val="24"/>
              </w:rPr>
              <w:t>Abivallavanem Andrus Freienthal</w:t>
            </w:r>
          </w:p>
        </w:tc>
      </w:tr>
    </w:tbl>
    <w:p w14:paraId="5171D41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C6C25" w14:textId="77777777" w:rsidR="006A2AA1" w:rsidRDefault="006A2AA1" w:rsidP="0058227E">
      <w:pPr>
        <w:spacing w:after="0" w:line="240" w:lineRule="auto"/>
      </w:pPr>
      <w:r>
        <w:separator/>
      </w:r>
    </w:p>
  </w:endnote>
  <w:endnote w:type="continuationSeparator" w:id="0">
    <w:p w14:paraId="2E1D5B28" w14:textId="77777777" w:rsidR="006A2AA1" w:rsidRDefault="006A2AA1"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Mono">
    <w:altName w:val="Courier New"/>
    <w:charset w:val="BA"/>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D41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34E41">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8C825" w14:textId="77777777" w:rsidR="006A2AA1" w:rsidRDefault="006A2AA1" w:rsidP="0058227E">
      <w:pPr>
        <w:spacing w:after="0" w:line="240" w:lineRule="auto"/>
      </w:pPr>
      <w:r>
        <w:separator/>
      </w:r>
    </w:p>
  </w:footnote>
  <w:footnote w:type="continuationSeparator" w:id="0">
    <w:p w14:paraId="37314A6D" w14:textId="77777777" w:rsidR="006A2AA1" w:rsidRDefault="006A2AA1"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D41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171D41A" w14:textId="49286742"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1D41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171D427" wp14:editId="5171D42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171D42D" w14:textId="71DE98F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71D42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171D42D" w14:textId="71DE98F9" w:rsidR="008C3218" w:rsidRPr="0058227E" w:rsidRDefault="008C3218" w:rsidP="008C3218">
                    <w:pPr>
                      <w:spacing w:after="0" w:line="240" w:lineRule="auto"/>
                      <w:rPr>
                        <w:rFonts w:ascii="Verdana" w:hAnsi="Verdana"/>
                        <w:sz w:val="16"/>
                        <w:szCs w:val="16"/>
                      </w:rPr>
                    </w:pPr>
                  </w:p>
                </w:txbxContent>
              </v:textbox>
            </v:shape>
          </w:pict>
        </mc:Fallback>
      </mc:AlternateContent>
    </w:r>
  </w:p>
  <w:p w14:paraId="5171D41D" w14:textId="77777777" w:rsidR="0058227E" w:rsidRDefault="0058227E" w:rsidP="0058227E">
    <w:pPr>
      <w:pStyle w:val="Pis"/>
      <w:jc w:val="center"/>
      <w:rPr>
        <w:sz w:val="10"/>
        <w:szCs w:val="10"/>
      </w:rPr>
    </w:pPr>
  </w:p>
  <w:p w14:paraId="5171D41E" w14:textId="77777777" w:rsidR="008D4DA5" w:rsidRDefault="008D4DA5" w:rsidP="0058227E">
    <w:pPr>
      <w:pStyle w:val="Pis"/>
      <w:jc w:val="center"/>
      <w:rPr>
        <w:sz w:val="10"/>
        <w:szCs w:val="10"/>
      </w:rPr>
    </w:pPr>
  </w:p>
  <w:p w14:paraId="5171D41F" w14:textId="77777777" w:rsidR="008D4DA5" w:rsidRDefault="008D4DA5" w:rsidP="0058227E">
    <w:pPr>
      <w:pStyle w:val="Pis"/>
      <w:jc w:val="center"/>
      <w:rPr>
        <w:sz w:val="10"/>
        <w:szCs w:val="10"/>
      </w:rPr>
    </w:pPr>
  </w:p>
  <w:p w14:paraId="5171D420" w14:textId="77777777" w:rsidR="008D4DA5" w:rsidRDefault="008D4DA5" w:rsidP="0058227E">
    <w:pPr>
      <w:pStyle w:val="Pis"/>
      <w:jc w:val="center"/>
      <w:rPr>
        <w:sz w:val="10"/>
        <w:szCs w:val="10"/>
      </w:rPr>
    </w:pPr>
  </w:p>
  <w:p w14:paraId="5171D421" w14:textId="77777777" w:rsidR="008D4DA5" w:rsidRDefault="008D4DA5" w:rsidP="0058227E">
    <w:pPr>
      <w:pStyle w:val="Pis"/>
      <w:jc w:val="center"/>
      <w:rPr>
        <w:sz w:val="10"/>
        <w:szCs w:val="10"/>
      </w:rPr>
    </w:pPr>
  </w:p>
  <w:p w14:paraId="5171D422" w14:textId="77777777" w:rsidR="008D4DA5" w:rsidRDefault="008D4DA5" w:rsidP="0058227E">
    <w:pPr>
      <w:pStyle w:val="Pis"/>
      <w:jc w:val="center"/>
      <w:rPr>
        <w:sz w:val="10"/>
        <w:szCs w:val="10"/>
      </w:rPr>
    </w:pPr>
  </w:p>
  <w:p w14:paraId="5171D423" w14:textId="77777777" w:rsidR="008D4DA5" w:rsidRDefault="008D4DA5" w:rsidP="0058227E">
    <w:pPr>
      <w:pStyle w:val="Pis"/>
      <w:jc w:val="center"/>
      <w:rPr>
        <w:sz w:val="10"/>
        <w:szCs w:val="10"/>
      </w:rPr>
    </w:pPr>
  </w:p>
  <w:p w14:paraId="5171D424" w14:textId="77777777" w:rsidR="008D4DA5" w:rsidRDefault="008D4DA5" w:rsidP="0058227E">
    <w:pPr>
      <w:pStyle w:val="Pis"/>
      <w:jc w:val="center"/>
      <w:rPr>
        <w:sz w:val="10"/>
        <w:szCs w:val="10"/>
      </w:rPr>
    </w:pPr>
  </w:p>
  <w:p w14:paraId="5171D425" w14:textId="77777777" w:rsidR="008D4DA5" w:rsidRDefault="008D4DA5" w:rsidP="0058227E">
    <w:pPr>
      <w:pStyle w:val="Pis"/>
      <w:jc w:val="center"/>
      <w:rPr>
        <w:sz w:val="10"/>
        <w:szCs w:val="10"/>
      </w:rPr>
    </w:pPr>
  </w:p>
  <w:p w14:paraId="5171D42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A0591A"/>
    <w:multiLevelType w:val="hybridMultilevel"/>
    <w:tmpl w:val="AEF6BE04"/>
    <w:lvl w:ilvl="0" w:tplc="1D84C7F2">
      <w:start w:val="1"/>
      <w:numFmt w:val="decimal"/>
      <w:lvlText w:val="%1)"/>
      <w:lvlJc w:val="left"/>
      <w:pPr>
        <w:ind w:left="1565" w:hanging="360"/>
      </w:pPr>
      <w:rPr>
        <w:rFonts w:ascii="Arial" w:eastAsiaTheme="majorEastAsia" w:hAnsi="Arial" w:cs="Arial"/>
      </w:rPr>
    </w:lvl>
    <w:lvl w:ilvl="1" w:tplc="04250003" w:tentative="1">
      <w:start w:val="1"/>
      <w:numFmt w:val="bullet"/>
      <w:lvlText w:val="o"/>
      <w:lvlJc w:val="left"/>
      <w:pPr>
        <w:ind w:left="2285" w:hanging="360"/>
      </w:pPr>
      <w:rPr>
        <w:rFonts w:ascii="Courier New" w:hAnsi="Courier New" w:cs="Courier New" w:hint="default"/>
      </w:rPr>
    </w:lvl>
    <w:lvl w:ilvl="2" w:tplc="04250005" w:tentative="1">
      <w:start w:val="1"/>
      <w:numFmt w:val="bullet"/>
      <w:lvlText w:val=""/>
      <w:lvlJc w:val="left"/>
      <w:pPr>
        <w:ind w:left="3005" w:hanging="360"/>
      </w:pPr>
      <w:rPr>
        <w:rFonts w:ascii="Wingdings" w:hAnsi="Wingdings" w:hint="default"/>
      </w:rPr>
    </w:lvl>
    <w:lvl w:ilvl="3" w:tplc="04250001" w:tentative="1">
      <w:start w:val="1"/>
      <w:numFmt w:val="bullet"/>
      <w:lvlText w:val=""/>
      <w:lvlJc w:val="left"/>
      <w:pPr>
        <w:ind w:left="3725" w:hanging="360"/>
      </w:pPr>
      <w:rPr>
        <w:rFonts w:ascii="Symbol" w:hAnsi="Symbol" w:hint="default"/>
      </w:rPr>
    </w:lvl>
    <w:lvl w:ilvl="4" w:tplc="04250003" w:tentative="1">
      <w:start w:val="1"/>
      <w:numFmt w:val="bullet"/>
      <w:lvlText w:val="o"/>
      <w:lvlJc w:val="left"/>
      <w:pPr>
        <w:ind w:left="4445" w:hanging="360"/>
      </w:pPr>
      <w:rPr>
        <w:rFonts w:ascii="Courier New" w:hAnsi="Courier New" w:cs="Courier New" w:hint="default"/>
      </w:rPr>
    </w:lvl>
    <w:lvl w:ilvl="5" w:tplc="04250005" w:tentative="1">
      <w:start w:val="1"/>
      <w:numFmt w:val="bullet"/>
      <w:lvlText w:val=""/>
      <w:lvlJc w:val="left"/>
      <w:pPr>
        <w:ind w:left="5165" w:hanging="360"/>
      </w:pPr>
      <w:rPr>
        <w:rFonts w:ascii="Wingdings" w:hAnsi="Wingdings" w:hint="default"/>
      </w:rPr>
    </w:lvl>
    <w:lvl w:ilvl="6" w:tplc="04250001" w:tentative="1">
      <w:start w:val="1"/>
      <w:numFmt w:val="bullet"/>
      <w:lvlText w:val=""/>
      <w:lvlJc w:val="left"/>
      <w:pPr>
        <w:ind w:left="5885" w:hanging="360"/>
      </w:pPr>
      <w:rPr>
        <w:rFonts w:ascii="Symbol" w:hAnsi="Symbol" w:hint="default"/>
      </w:rPr>
    </w:lvl>
    <w:lvl w:ilvl="7" w:tplc="04250003" w:tentative="1">
      <w:start w:val="1"/>
      <w:numFmt w:val="bullet"/>
      <w:lvlText w:val="o"/>
      <w:lvlJc w:val="left"/>
      <w:pPr>
        <w:ind w:left="6605" w:hanging="360"/>
      </w:pPr>
      <w:rPr>
        <w:rFonts w:ascii="Courier New" w:hAnsi="Courier New" w:cs="Courier New" w:hint="default"/>
      </w:rPr>
    </w:lvl>
    <w:lvl w:ilvl="8" w:tplc="04250005" w:tentative="1">
      <w:start w:val="1"/>
      <w:numFmt w:val="bullet"/>
      <w:lvlText w:val=""/>
      <w:lvlJc w:val="left"/>
      <w:pPr>
        <w:ind w:left="7325" w:hanging="360"/>
      </w:pPr>
      <w:rPr>
        <w:rFonts w:ascii="Wingdings" w:hAnsi="Wingdings" w:hint="default"/>
      </w:rPr>
    </w:lvl>
  </w:abstractNum>
  <w:abstractNum w:abstractNumId="2" w15:restartNumberingAfterBreak="0">
    <w:nsid w:val="4B456561"/>
    <w:multiLevelType w:val="hybridMultilevel"/>
    <w:tmpl w:val="3112DFC4"/>
    <w:lvl w:ilvl="0" w:tplc="DA100FB6">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3170223">
    <w:abstractNumId w:val="4"/>
  </w:num>
  <w:num w:numId="2" w16cid:durableId="1639071245">
    <w:abstractNumId w:val="5"/>
  </w:num>
  <w:num w:numId="3" w16cid:durableId="1665087646">
    <w:abstractNumId w:val="3"/>
  </w:num>
  <w:num w:numId="4" w16cid:durableId="1534417614">
    <w:abstractNumId w:val="0"/>
  </w:num>
  <w:num w:numId="5" w16cid:durableId="1790196546">
    <w:abstractNumId w:val="6"/>
  </w:num>
  <w:num w:numId="6" w16cid:durableId="2082362550">
    <w:abstractNumId w:val="1"/>
  </w:num>
  <w:num w:numId="7" w16cid:durableId="1998801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821E2"/>
    <w:rsid w:val="000A706D"/>
    <w:rsid w:val="00105CE0"/>
    <w:rsid w:val="001C5D78"/>
    <w:rsid w:val="001F4B34"/>
    <w:rsid w:val="002B1191"/>
    <w:rsid w:val="003360B7"/>
    <w:rsid w:val="003568FE"/>
    <w:rsid w:val="00385616"/>
    <w:rsid w:val="003B62E0"/>
    <w:rsid w:val="00435C14"/>
    <w:rsid w:val="00480C46"/>
    <w:rsid w:val="0049397B"/>
    <w:rsid w:val="004A0794"/>
    <w:rsid w:val="004A5012"/>
    <w:rsid w:val="004E55FF"/>
    <w:rsid w:val="005027EC"/>
    <w:rsid w:val="0058227E"/>
    <w:rsid w:val="005B06A1"/>
    <w:rsid w:val="00603FA4"/>
    <w:rsid w:val="00646951"/>
    <w:rsid w:val="006A2AA1"/>
    <w:rsid w:val="006F0C8B"/>
    <w:rsid w:val="006F7490"/>
    <w:rsid w:val="00734E41"/>
    <w:rsid w:val="007524CD"/>
    <w:rsid w:val="00757FCF"/>
    <w:rsid w:val="007621EB"/>
    <w:rsid w:val="00772CF5"/>
    <w:rsid w:val="00780FC0"/>
    <w:rsid w:val="007B63D2"/>
    <w:rsid w:val="007C3E85"/>
    <w:rsid w:val="007D1DEE"/>
    <w:rsid w:val="007D227C"/>
    <w:rsid w:val="00880190"/>
    <w:rsid w:val="008C3218"/>
    <w:rsid w:val="008D4DA5"/>
    <w:rsid w:val="00917A1D"/>
    <w:rsid w:val="00940B98"/>
    <w:rsid w:val="009428D9"/>
    <w:rsid w:val="009D2727"/>
    <w:rsid w:val="00A357CC"/>
    <w:rsid w:val="00A43B52"/>
    <w:rsid w:val="00A70750"/>
    <w:rsid w:val="00A707A2"/>
    <w:rsid w:val="00AA1BB8"/>
    <w:rsid w:val="00AA5077"/>
    <w:rsid w:val="00AB0B37"/>
    <w:rsid w:val="00AF1DE6"/>
    <w:rsid w:val="00BC3A12"/>
    <w:rsid w:val="00C27542"/>
    <w:rsid w:val="00C4063A"/>
    <w:rsid w:val="00CD0CFF"/>
    <w:rsid w:val="00DB4C26"/>
    <w:rsid w:val="00E13B6E"/>
    <w:rsid w:val="00E54079"/>
    <w:rsid w:val="00EA2011"/>
    <w:rsid w:val="00EA7AC2"/>
    <w:rsid w:val="00EB548E"/>
    <w:rsid w:val="00ED16E3"/>
    <w:rsid w:val="00EE41BE"/>
    <w:rsid w:val="00F51E78"/>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1D3D7"/>
  <w15:docId w15:val="{366264DE-EFEA-4586-97F1-E9B60B40A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Eelvormindatudtekst">
    <w:name w:val="Eelvormindatud tekst"/>
    <w:basedOn w:val="Normaallaad"/>
    <w:qFormat/>
    <w:rsid w:val="00A707A2"/>
    <w:pPr>
      <w:widowControl w:val="0"/>
      <w:spacing w:after="0" w:line="240" w:lineRule="auto"/>
    </w:pPr>
    <w:rPr>
      <w:rFonts w:ascii="Liberation Mono" w:eastAsia="NSimSun" w:hAnsi="Liberation Mono" w:cs="Liberation Mono"/>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40402202000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3913</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2022-09-21T10:56:00Z</dcterms:created>
  <dcterms:modified xsi:type="dcterms:W3CDTF">2022-09-23T07:21:00Z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